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F60" w14:textId="0FBCDF46" w:rsidR="00CA4F05" w:rsidRDefault="00CA4F05" w:rsidP="00551BC1">
      <w:pPr>
        <w:pStyle w:val="Title"/>
        <w:jc w:val="center"/>
        <w:rPr>
          <w:color w:val="1C5EB2"/>
          <w:sz w:val="36"/>
          <w:szCs w:val="36"/>
        </w:rPr>
      </w:pPr>
      <w:r w:rsidRPr="00551BC1">
        <w:rPr>
          <w:color w:val="1C5EB2"/>
          <w:sz w:val="36"/>
          <w:szCs w:val="36"/>
        </w:rPr>
        <w:t xml:space="preserve">TNA’s Circus &amp; Physical Theatre Strategy 2021 – 2024 </w:t>
      </w:r>
      <w:r w:rsidR="00863966" w:rsidRPr="00551BC1">
        <w:rPr>
          <w:color w:val="1C5EB2"/>
          <w:sz w:val="36"/>
          <w:szCs w:val="36"/>
        </w:rPr>
        <w:t>Overview</w:t>
      </w:r>
    </w:p>
    <w:p w14:paraId="1B8CD8B7" w14:textId="73675687" w:rsidR="003D3A94" w:rsidRDefault="003D3A94" w:rsidP="003D3A94">
      <w:pPr>
        <w:pStyle w:val="Subtitle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3D3A94">
        <w:rPr>
          <w:rFonts w:ascii="Arial" w:hAnsi="Arial" w:cs="Arial"/>
          <w:color w:val="auto"/>
          <w:sz w:val="24"/>
          <w:szCs w:val="24"/>
          <w:lang w:val="en"/>
        </w:rPr>
        <w:t xml:space="preserve">This overview highlights the priority areas and objectives of TNA’s </w:t>
      </w:r>
      <w:proofErr w:type="spellStart"/>
      <w:r w:rsidRPr="003D3A94">
        <w:rPr>
          <w:rFonts w:ascii="Arial" w:hAnsi="Arial" w:cs="Arial"/>
          <w:color w:val="auto"/>
          <w:sz w:val="24"/>
          <w:szCs w:val="24"/>
          <w:lang w:val="en"/>
        </w:rPr>
        <w:t>CaPT</w:t>
      </w:r>
      <w:proofErr w:type="spellEnd"/>
      <w:r w:rsidRPr="003D3A94">
        <w:rPr>
          <w:rFonts w:ascii="Arial" w:hAnsi="Arial" w:cs="Arial"/>
          <w:color w:val="auto"/>
          <w:sz w:val="24"/>
          <w:szCs w:val="24"/>
          <w:lang w:val="en"/>
        </w:rPr>
        <w:t xml:space="preserve"> Strategy. The full strategy provides further context and includes the actions TNA is committed to delivering to achieve these objectives. For more information contact </w:t>
      </w:r>
      <w:hyperlink r:id="rId7" w:history="1">
        <w:r w:rsidRPr="00570958">
          <w:rPr>
            <w:rStyle w:val="Hyperlink"/>
            <w:rFonts w:ascii="Arial" w:hAnsi="Arial" w:cs="Arial"/>
            <w:sz w:val="24"/>
            <w:szCs w:val="24"/>
            <w:lang w:val="en"/>
          </w:rPr>
          <w:t>info@tna.org.au</w:t>
        </w:r>
      </w:hyperlink>
      <w:r w:rsidRPr="003D3A94">
        <w:rPr>
          <w:rFonts w:ascii="Arial" w:hAnsi="Arial" w:cs="Arial"/>
          <w:color w:val="auto"/>
          <w:sz w:val="24"/>
          <w:szCs w:val="24"/>
          <w:lang w:val="en"/>
        </w:rPr>
        <w:t>.</w:t>
      </w:r>
    </w:p>
    <w:p w14:paraId="1F105939" w14:textId="74FCA683" w:rsidR="00551BC1" w:rsidRPr="003D3A94" w:rsidRDefault="00C26999" w:rsidP="003D3A94">
      <w:pPr>
        <w:pStyle w:val="Heading1"/>
        <w:rPr>
          <w:color w:val="3B8580"/>
          <w:sz w:val="28"/>
          <w:szCs w:val="28"/>
        </w:rPr>
      </w:pPr>
      <w:r w:rsidRPr="003D3A94">
        <w:rPr>
          <w:color w:val="3B8580"/>
          <w:sz w:val="28"/>
          <w:szCs w:val="28"/>
        </w:rPr>
        <w:lastRenderedPageBreak/>
        <w:t>First Nations First</w:t>
      </w:r>
    </w:p>
    <w:p w14:paraId="1B705E1D" w14:textId="7600FDAA" w:rsidR="00551BC1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Ensure First Nations voices and perspectives are </w:t>
      </w:r>
      <w:proofErr w:type="spellStart"/>
      <w:r w:rsidRPr="00551BC1">
        <w:rPr>
          <w:sz w:val="24"/>
          <w:szCs w:val="24"/>
        </w:rPr>
        <w:t>prioritised</w:t>
      </w:r>
      <w:proofErr w:type="spellEnd"/>
      <w:r w:rsidRPr="00551BC1">
        <w:rPr>
          <w:sz w:val="24"/>
          <w:szCs w:val="24"/>
        </w:rPr>
        <w:t xml:space="preserve"> and supported in all the work TNA does.</w:t>
      </w:r>
    </w:p>
    <w:p w14:paraId="26A58E80" w14:textId="5745D67A" w:rsidR="00551BC1" w:rsidRPr="00551BC1" w:rsidRDefault="00C26999" w:rsidP="00551BC1">
      <w:pPr>
        <w:pStyle w:val="Heading2"/>
        <w:rPr>
          <w:sz w:val="24"/>
          <w:szCs w:val="24"/>
          <w:shd w:val="clear" w:color="auto" w:fill="FFFFFF"/>
          <w:lang w:val="en-AU"/>
        </w:rPr>
      </w:pPr>
      <w:r w:rsidRPr="00551BC1">
        <w:rPr>
          <w:sz w:val="24"/>
          <w:szCs w:val="24"/>
        </w:rPr>
        <w:t xml:space="preserve">Support the sector in acquiring the knowledge and understanding to effectively support </w:t>
      </w:r>
      <w:r w:rsidRPr="00551BC1">
        <w:rPr>
          <w:sz w:val="24"/>
          <w:szCs w:val="24"/>
          <w:shd w:val="clear" w:color="auto" w:fill="FFFFFF"/>
          <w:lang w:val="en-AU"/>
        </w:rPr>
        <w:t>sovereignty and self-determined outcomes in First Nations arts.</w:t>
      </w:r>
    </w:p>
    <w:p w14:paraId="4B81D875" w14:textId="77777777" w:rsidR="00551BC1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Challenge the sector to make transformational change </w:t>
      </w:r>
      <w:r w:rsidR="00551BC1" w:rsidRPr="00551BC1">
        <w:rPr>
          <w:sz w:val="24"/>
          <w:szCs w:val="24"/>
        </w:rPr>
        <w:t>by</w:t>
      </w:r>
    </w:p>
    <w:p w14:paraId="321478D6" w14:textId="2334D0CD" w:rsidR="006919DF" w:rsidRPr="006919DF" w:rsidRDefault="00C26999" w:rsidP="006919DF">
      <w:pPr>
        <w:pStyle w:val="Heading3"/>
        <w:rPr>
          <w:rFonts w:ascii="Arial" w:hAnsi="Arial" w:cs="Arial"/>
          <w:color w:val="auto"/>
        </w:rPr>
      </w:pPr>
      <w:r w:rsidRPr="006919DF">
        <w:rPr>
          <w:rFonts w:ascii="Arial" w:hAnsi="Arial" w:cs="Arial"/>
          <w:color w:val="auto"/>
        </w:rPr>
        <w:t>Committing to strategies and targets that increase First Nation</w:t>
      </w:r>
      <w:r w:rsidR="008B0D6C">
        <w:rPr>
          <w:rFonts w:ascii="Arial" w:hAnsi="Arial" w:cs="Arial"/>
          <w:color w:val="auto"/>
        </w:rPr>
        <w:t xml:space="preserve"> </w:t>
      </w:r>
      <w:r w:rsidRPr="006919DF">
        <w:rPr>
          <w:rFonts w:ascii="Arial" w:hAnsi="Arial" w:cs="Arial"/>
          <w:color w:val="auto"/>
        </w:rPr>
        <w:t>leadership and representation</w:t>
      </w:r>
    </w:p>
    <w:p w14:paraId="1F4A723C" w14:textId="122BB6E7" w:rsidR="00C26999" w:rsidRPr="006919DF" w:rsidRDefault="00C26999" w:rsidP="006919DF">
      <w:pPr>
        <w:pStyle w:val="Heading3"/>
        <w:rPr>
          <w:rFonts w:ascii="Arial" w:hAnsi="Arial" w:cs="Arial"/>
          <w:color w:val="auto"/>
        </w:rPr>
      </w:pPr>
      <w:r w:rsidRPr="006919DF">
        <w:rPr>
          <w:rFonts w:ascii="Arial" w:hAnsi="Arial" w:cs="Arial"/>
          <w:color w:val="auto"/>
        </w:rPr>
        <w:t xml:space="preserve">Undertaking </w:t>
      </w:r>
      <w:r w:rsidRPr="006919DF">
        <w:rPr>
          <w:rFonts w:ascii="Arial" w:eastAsia="Times New Roman" w:hAnsi="Arial" w:cs="Arial"/>
          <w:color w:val="auto"/>
        </w:rPr>
        <w:t>data collection and reporting to enable accountability</w:t>
      </w:r>
    </w:p>
    <w:p w14:paraId="179E9355" w14:textId="5E49BCAA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Access &amp; Inclusion</w:t>
      </w:r>
    </w:p>
    <w:p w14:paraId="3986CF90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Improve TNA’s understanding of the actions required to enhance the experience and engagement of Deaf and disabled Circus and Physical Theatre practitioners and workers.</w:t>
      </w:r>
    </w:p>
    <w:p w14:paraId="34FBCDB2" w14:textId="4B811DF1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Partner with </w:t>
      </w:r>
      <w:proofErr w:type="spellStart"/>
      <w:r w:rsidRPr="00551BC1">
        <w:rPr>
          <w:sz w:val="24"/>
          <w:szCs w:val="24"/>
        </w:rPr>
        <w:t>organisations</w:t>
      </w:r>
      <w:proofErr w:type="spellEnd"/>
      <w:r w:rsidRPr="00551BC1">
        <w:rPr>
          <w:sz w:val="24"/>
          <w:szCs w:val="24"/>
        </w:rPr>
        <w:t xml:space="preserve"> to contribute to the sector’s ongoing learning and expertise in accessibility and inclusion.</w:t>
      </w:r>
    </w:p>
    <w:p w14:paraId="7096ACDE" w14:textId="4DD7B4F3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Promoting Equity &amp; Justice</w:t>
      </w:r>
    </w:p>
    <w:p w14:paraId="5F72A1AE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Lead by example, visibly taking actions to create a more just and equitable performing arts industry, as a role model for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sector.</w:t>
      </w:r>
    </w:p>
    <w:p w14:paraId="4BB172BE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Provide opportunities for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 to embrace and contribute to TNA’s 10-year vision of a safe, </w:t>
      </w:r>
      <w:proofErr w:type="gramStart"/>
      <w:r w:rsidRPr="00551BC1">
        <w:rPr>
          <w:sz w:val="24"/>
          <w:szCs w:val="24"/>
        </w:rPr>
        <w:t>healthy</w:t>
      </w:r>
      <w:proofErr w:type="gramEnd"/>
      <w:r w:rsidRPr="00551BC1">
        <w:rPr>
          <w:sz w:val="24"/>
          <w:szCs w:val="24"/>
        </w:rPr>
        <w:t xml:space="preserve"> and relevant performing arts sector.</w:t>
      </w:r>
    </w:p>
    <w:p w14:paraId="18076567" w14:textId="5310F1B2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Create space for and ignite conversations relating to diversity, </w:t>
      </w:r>
      <w:proofErr w:type="gramStart"/>
      <w:r w:rsidRPr="00551BC1">
        <w:rPr>
          <w:sz w:val="24"/>
          <w:szCs w:val="24"/>
        </w:rPr>
        <w:t>access</w:t>
      </w:r>
      <w:proofErr w:type="gramEnd"/>
      <w:r w:rsidRPr="00551BC1">
        <w:rPr>
          <w:sz w:val="24"/>
          <w:szCs w:val="24"/>
        </w:rPr>
        <w:t xml:space="preserve"> and inclusion, to address challenges and gaps, and promote the creative case for inclusion. </w:t>
      </w:r>
    </w:p>
    <w:p w14:paraId="4EDB94FC" w14:textId="6745BD65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Membership &amp; Engagement</w:t>
      </w:r>
    </w:p>
    <w:p w14:paraId="58EF6A14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Develop an ongoing, deep, and reciprocal engagement with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sector.</w:t>
      </w:r>
    </w:p>
    <w:p w14:paraId="73C555A2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lastRenderedPageBreak/>
        <w:t xml:space="preserve">Create a renewed understanding within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 of the role and services TNA </w:t>
      </w:r>
      <w:proofErr w:type="gramStart"/>
      <w:r w:rsidRPr="00551BC1">
        <w:rPr>
          <w:sz w:val="24"/>
          <w:szCs w:val="24"/>
        </w:rPr>
        <w:t>delivers, and</w:t>
      </w:r>
      <w:proofErr w:type="gramEnd"/>
      <w:r w:rsidRPr="00551BC1">
        <w:rPr>
          <w:sz w:val="24"/>
          <w:szCs w:val="24"/>
        </w:rPr>
        <w:t xml:space="preserve"> increase the sector’s use of those services. </w:t>
      </w:r>
    </w:p>
    <w:p w14:paraId="747315EB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Successfully position TNA as a central service </w:t>
      </w:r>
      <w:proofErr w:type="spellStart"/>
      <w:r w:rsidRPr="00551BC1">
        <w:rPr>
          <w:sz w:val="24"/>
          <w:szCs w:val="24"/>
        </w:rPr>
        <w:t>organisation</w:t>
      </w:r>
      <w:proofErr w:type="spellEnd"/>
      <w:r w:rsidRPr="00551BC1">
        <w:rPr>
          <w:sz w:val="24"/>
          <w:szCs w:val="24"/>
        </w:rPr>
        <w:t xml:space="preserve"> to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sector.</w:t>
      </w:r>
    </w:p>
    <w:p w14:paraId="34C32215" w14:textId="2B4B3131" w:rsidR="00DA0E16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Increase the numbers of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independents and companies who are TNA financial members.</w:t>
      </w:r>
    </w:p>
    <w:p w14:paraId="0DBFA6CC" w14:textId="46F9E105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Informing &amp; Supporting</w:t>
      </w:r>
    </w:p>
    <w:p w14:paraId="0C6EA413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Provide the </w:t>
      </w:r>
      <w:proofErr w:type="spellStart"/>
      <w:r w:rsidRPr="00551BC1">
        <w:rPr>
          <w:sz w:val="24"/>
          <w:szCs w:val="24"/>
        </w:rPr>
        <w:t>CaPT</w:t>
      </w:r>
      <w:proofErr w:type="spellEnd"/>
      <w:r w:rsidRPr="00551BC1">
        <w:rPr>
          <w:sz w:val="24"/>
          <w:szCs w:val="24"/>
        </w:rPr>
        <w:t xml:space="preserve"> sector with access to the latest industry opportunities and updates to ensure they have equal opportunities in line with the wider arts sector.</w:t>
      </w:r>
    </w:p>
    <w:p w14:paraId="0B9916B7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Provide advice and information on employment rights and industry standards to ensure members can self-advocate and build their own sustainable practice.</w:t>
      </w:r>
    </w:p>
    <w:p w14:paraId="79DA3A23" w14:textId="77777777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Gathering In &amp; Connecting Out</w:t>
      </w:r>
    </w:p>
    <w:p w14:paraId="43F53B57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Support and promote opportunities that encourage sector members to connect, collaborate and learn from each other.</w:t>
      </w:r>
    </w:p>
    <w:p w14:paraId="31F23E5D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Assist individuals and </w:t>
      </w:r>
      <w:proofErr w:type="spellStart"/>
      <w:r w:rsidRPr="00551BC1">
        <w:rPr>
          <w:sz w:val="24"/>
          <w:szCs w:val="24"/>
        </w:rPr>
        <w:t>organisations</w:t>
      </w:r>
      <w:proofErr w:type="spellEnd"/>
      <w:r w:rsidRPr="00551BC1">
        <w:rPr>
          <w:sz w:val="24"/>
          <w:szCs w:val="24"/>
        </w:rPr>
        <w:t xml:space="preserve"> to build relationships within the wider Arts landscape, </w:t>
      </w:r>
      <w:proofErr w:type="gramStart"/>
      <w:r w:rsidRPr="00551BC1">
        <w:rPr>
          <w:sz w:val="24"/>
          <w:szCs w:val="24"/>
        </w:rPr>
        <w:t>in order to</w:t>
      </w:r>
      <w:proofErr w:type="gramEnd"/>
      <w:r w:rsidRPr="00551BC1">
        <w:rPr>
          <w:sz w:val="24"/>
          <w:szCs w:val="24"/>
        </w:rPr>
        <w:t xml:space="preserve"> promote the artform and their own work.</w:t>
      </w:r>
    </w:p>
    <w:p w14:paraId="354F53BF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Help the sector grow its international presence without necessarily leaving Australia.</w:t>
      </w:r>
    </w:p>
    <w:p w14:paraId="3F4C97AF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Ensure our regional or remote circus artists and </w:t>
      </w:r>
      <w:proofErr w:type="spellStart"/>
      <w:r w:rsidRPr="00551BC1">
        <w:rPr>
          <w:sz w:val="24"/>
          <w:szCs w:val="24"/>
        </w:rPr>
        <w:t>organisations</w:t>
      </w:r>
      <w:proofErr w:type="spellEnd"/>
      <w:r w:rsidRPr="00551BC1">
        <w:rPr>
          <w:sz w:val="24"/>
          <w:szCs w:val="24"/>
        </w:rPr>
        <w:t xml:space="preserve"> have similar opportunities to connect as their city/metro-based colleagues.</w:t>
      </w:r>
    </w:p>
    <w:p w14:paraId="3FABF5B1" w14:textId="797FB3D7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>Developing a Sustainable Sector</w:t>
      </w:r>
    </w:p>
    <w:p w14:paraId="42FD6BDB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Foster conversation and information sharing to strengthen the sector and make it more sustainable economically, socially, and environmentally. </w:t>
      </w:r>
    </w:p>
    <w:p w14:paraId="31510E4D" w14:textId="33232B61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r w:rsidRPr="00551BC1">
        <w:rPr>
          <w:color w:val="3B8580"/>
          <w:sz w:val="28"/>
          <w:szCs w:val="28"/>
        </w:rPr>
        <w:t xml:space="preserve">Advocating for Recognition and </w:t>
      </w:r>
      <w:proofErr w:type="spellStart"/>
      <w:r w:rsidRPr="00551BC1">
        <w:rPr>
          <w:color w:val="3B8580"/>
          <w:sz w:val="28"/>
          <w:szCs w:val="28"/>
        </w:rPr>
        <w:t>CaPT</w:t>
      </w:r>
      <w:proofErr w:type="spellEnd"/>
      <w:r w:rsidRPr="00551BC1">
        <w:rPr>
          <w:color w:val="3B8580"/>
          <w:sz w:val="28"/>
          <w:szCs w:val="28"/>
        </w:rPr>
        <w:t xml:space="preserve"> Specific Needs</w:t>
      </w:r>
    </w:p>
    <w:p w14:paraId="0D9E66DC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lastRenderedPageBreak/>
        <w:t>Increase both local and state governments’ awareness of the CaPT sector in their</w:t>
      </w:r>
      <w:r w:rsidRPr="00551BC1">
        <w:rPr>
          <w:strike/>
          <w:sz w:val="24"/>
          <w:szCs w:val="24"/>
        </w:rPr>
        <w:t xml:space="preserve"> </w:t>
      </w:r>
      <w:r w:rsidRPr="00551BC1">
        <w:rPr>
          <w:sz w:val="24"/>
          <w:szCs w:val="24"/>
        </w:rPr>
        <w:t>communities, and their understanding of the artform.</w:t>
      </w:r>
    </w:p>
    <w:p w14:paraId="10DCB2F5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Lobby state and Federal government and Federal funding bodies on the importance of actively supporting the CaPT sector.</w:t>
      </w:r>
    </w:p>
    <w:p w14:paraId="7DCA1AD8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Be a responsive and unified voice for CaPT-specific issues as identified by the sector.</w:t>
      </w:r>
    </w:p>
    <w:p w14:paraId="68DA3B1B" w14:textId="6743EDD8" w:rsidR="00C26999" w:rsidRPr="00551BC1" w:rsidRDefault="00C26999" w:rsidP="00551BC1">
      <w:pPr>
        <w:pStyle w:val="Heading1"/>
        <w:rPr>
          <w:color w:val="3B8580"/>
          <w:sz w:val="28"/>
          <w:szCs w:val="28"/>
        </w:rPr>
      </w:pPr>
      <w:proofErr w:type="spellStart"/>
      <w:r w:rsidRPr="00551BC1">
        <w:rPr>
          <w:color w:val="3B8580"/>
          <w:sz w:val="28"/>
          <w:szCs w:val="28"/>
        </w:rPr>
        <w:t>Analysing</w:t>
      </w:r>
      <w:proofErr w:type="spellEnd"/>
      <w:r w:rsidRPr="00551BC1">
        <w:rPr>
          <w:color w:val="3B8580"/>
          <w:sz w:val="28"/>
          <w:szCs w:val="28"/>
        </w:rPr>
        <w:t xml:space="preserve"> Sector Trends, Realities and Evolutions</w:t>
      </w:r>
    </w:p>
    <w:p w14:paraId="171A7060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>Provide evidenced based research to strengthen the visibility of, and advocacy efforts for the sector.</w:t>
      </w:r>
    </w:p>
    <w:p w14:paraId="6C55C620" w14:textId="77777777" w:rsidR="00C26999" w:rsidRPr="00551BC1" w:rsidRDefault="00C26999" w:rsidP="00551BC1">
      <w:pPr>
        <w:pStyle w:val="Heading2"/>
        <w:rPr>
          <w:sz w:val="24"/>
          <w:szCs w:val="24"/>
        </w:rPr>
      </w:pPr>
      <w:r w:rsidRPr="00551BC1">
        <w:rPr>
          <w:sz w:val="24"/>
          <w:szCs w:val="24"/>
        </w:rPr>
        <w:t xml:space="preserve">Ensure that TNA’s Independent and Companies biennial surveys include a strong representation from the CaPT </w:t>
      </w:r>
      <w:proofErr w:type="gramStart"/>
      <w:r w:rsidRPr="00551BC1">
        <w:rPr>
          <w:sz w:val="24"/>
          <w:szCs w:val="24"/>
        </w:rPr>
        <w:t>sector, and</w:t>
      </w:r>
      <w:proofErr w:type="gramEnd"/>
      <w:r w:rsidRPr="00551BC1">
        <w:rPr>
          <w:sz w:val="24"/>
          <w:szCs w:val="24"/>
        </w:rPr>
        <w:t xml:space="preserve"> use the findings to advocate for change.</w:t>
      </w:r>
    </w:p>
    <w:p w14:paraId="7369272A" w14:textId="77777777" w:rsidR="00E8336E" w:rsidRPr="00C26999" w:rsidRDefault="004A0048" w:rsidP="001F7A8B">
      <w:pPr>
        <w:jc w:val="both"/>
      </w:pPr>
    </w:p>
    <w:sectPr w:rsidR="00E8336E" w:rsidRPr="00C269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5D38" w14:textId="77777777" w:rsidR="004A0048" w:rsidRDefault="004A0048" w:rsidP="00D841C2">
      <w:r>
        <w:separator/>
      </w:r>
    </w:p>
  </w:endnote>
  <w:endnote w:type="continuationSeparator" w:id="0">
    <w:p w14:paraId="2E47FE0C" w14:textId="77777777" w:rsidR="004A0048" w:rsidRDefault="004A0048" w:rsidP="00D8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altName w:val="﷽﷽﷽﷽﷽﷽﷽﷽anklin"/>
    <w:panose1 w:val="020B0604020202020204"/>
    <w:charset w:val="4D"/>
    <w:family w:val="auto"/>
    <w:pitch w:val="variable"/>
    <w:sig w:usb0="00000007" w:usb1="00000000" w:usb2="00000000" w:usb3="00000000" w:csb0="00000193" w:csb1="00000000"/>
  </w:font>
  <w:font w:name="Libre Franklin Black">
    <w:panose1 w:val="020B0604020202020204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20B0604020202020204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603D" w14:textId="77777777" w:rsidR="00D841C2" w:rsidRDefault="00D841C2" w:rsidP="00D841C2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47205DC4" wp14:editId="3FBA06D7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CE27E" w14:textId="77777777" w:rsidR="00D841C2" w:rsidRDefault="00D841C2" w:rsidP="00D841C2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41B9EFEA" w14:textId="77777777" w:rsidR="00D841C2" w:rsidRDefault="00D841C2" w:rsidP="00D841C2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1535AC51" w14:textId="77777777" w:rsidR="00D841C2" w:rsidRPr="003B38D4" w:rsidRDefault="00D841C2" w:rsidP="00D841C2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6CE833FB" w14:textId="77777777" w:rsidR="00D841C2" w:rsidRDefault="00D8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E784" w14:textId="77777777" w:rsidR="004A0048" w:rsidRDefault="004A0048" w:rsidP="00D841C2">
      <w:r>
        <w:separator/>
      </w:r>
    </w:p>
  </w:footnote>
  <w:footnote w:type="continuationSeparator" w:id="0">
    <w:p w14:paraId="4076B1D2" w14:textId="77777777" w:rsidR="004A0048" w:rsidRDefault="004A0048" w:rsidP="00D8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B0DF" w14:textId="77777777" w:rsidR="00D841C2" w:rsidRDefault="00D841C2" w:rsidP="00D841C2">
    <w:pPr>
      <w:pStyle w:val="Header"/>
    </w:pPr>
    <w:r>
      <w:rPr>
        <w:rFonts w:asciiTheme="majorHAnsi" w:hAnsiTheme="majorHAnsi"/>
        <w:b/>
        <w:bCs/>
        <w:noProof/>
        <w:sz w:val="22"/>
        <w:lang w:val="en-US"/>
      </w:rPr>
      <w:drawing>
        <wp:inline distT="0" distB="0" distL="0" distR="0" wp14:anchorId="36644619" wp14:editId="3FE1F65D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82C9C" w14:textId="77777777" w:rsidR="00D841C2" w:rsidRDefault="00D841C2" w:rsidP="00D841C2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5AB519FC" wp14:editId="70B2CE55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06D55" w14:textId="77777777" w:rsidR="00D841C2" w:rsidRPr="00D841C2" w:rsidRDefault="00D841C2" w:rsidP="00D8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1E6"/>
    <w:multiLevelType w:val="hybridMultilevel"/>
    <w:tmpl w:val="FDEC0F1A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86D5E9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8A47C25"/>
    <w:multiLevelType w:val="hybridMultilevel"/>
    <w:tmpl w:val="DF904FB0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AE9"/>
    <w:multiLevelType w:val="hybridMultilevel"/>
    <w:tmpl w:val="FBDA69A0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523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AF6952"/>
    <w:multiLevelType w:val="hybridMultilevel"/>
    <w:tmpl w:val="54B6287C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4957056"/>
    <w:multiLevelType w:val="hybridMultilevel"/>
    <w:tmpl w:val="A25AC3E2"/>
    <w:lvl w:ilvl="0" w:tplc="30E0584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C12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1007C6"/>
    <w:multiLevelType w:val="hybridMultilevel"/>
    <w:tmpl w:val="DD9409FE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9B938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D21B50"/>
    <w:multiLevelType w:val="multilevel"/>
    <w:tmpl w:val="B2D8A9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F2D36C9"/>
    <w:multiLevelType w:val="multilevel"/>
    <w:tmpl w:val="DB70E4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728B06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5556AE"/>
    <w:multiLevelType w:val="hybridMultilevel"/>
    <w:tmpl w:val="259E950A"/>
    <w:lvl w:ilvl="0" w:tplc="9B14B40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9"/>
    <w:rsid w:val="000A4F62"/>
    <w:rsid w:val="001F7A8B"/>
    <w:rsid w:val="003D3A94"/>
    <w:rsid w:val="004A0048"/>
    <w:rsid w:val="00551BC1"/>
    <w:rsid w:val="005D7C44"/>
    <w:rsid w:val="005E4F00"/>
    <w:rsid w:val="006919DF"/>
    <w:rsid w:val="006B2D96"/>
    <w:rsid w:val="00863966"/>
    <w:rsid w:val="008A4FD8"/>
    <w:rsid w:val="008B0D6C"/>
    <w:rsid w:val="00C26999"/>
    <w:rsid w:val="00CA4F05"/>
    <w:rsid w:val="00D841C2"/>
    <w:rsid w:val="00DA0E16"/>
    <w:rsid w:val="00F46903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F9CD3"/>
  <w15:chartTrackingRefBased/>
  <w15:docId w15:val="{E6D13D27-320B-AB43-BF4C-7E60E16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9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99"/>
    <w:pPr>
      <w:keepNext/>
      <w:keepLines/>
      <w:numPr>
        <w:numId w:val="14"/>
      </w:numPr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99"/>
    <w:pPr>
      <w:keepNext/>
      <w:keepLines/>
      <w:numPr>
        <w:ilvl w:val="1"/>
        <w:numId w:val="14"/>
      </w:numPr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C1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BC1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1BC1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1BC1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1BC1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BC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BC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999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6999"/>
    <w:rPr>
      <w:rFonts w:ascii="Arial" w:eastAsia="Arial" w:hAnsi="Arial" w:cs="Arial"/>
      <w:sz w:val="32"/>
      <w:szCs w:val="32"/>
      <w:lang w:val="en" w:eastAsia="en-GB"/>
    </w:rPr>
  </w:style>
  <w:style w:type="paragraph" w:styleId="ListParagraph">
    <w:name w:val="List Paragraph"/>
    <w:basedOn w:val="Normal"/>
    <w:uiPriority w:val="34"/>
    <w:qFormat/>
    <w:rsid w:val="00C2699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84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C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4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C2"/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A4F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CA4F05"/>
    <w:rPr>
      <w:rFonts w:ascii="Arial" w:eastAsia="Arial" w:hAnsi="Arial" w:cs="Arial"/>
      <w:sz w:val="52"/>
      <w:szCs w:val="52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51BC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51BC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51BC1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51BC1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51BC1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B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B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A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3A94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3D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n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Cox</dc:creator>
  <cp:keywords/>
  <dc:description/>
  <cp:lastModifiedBy>Steph Cox</cp:lastModifiedBy>
  <cp:revision>5</cp:revision>
  <dcterms:created xsi:type="dcterms:W3CDTF">2021-08-13T02:06:00Z</dcterms:created>
  <dcterms:modified xsi:type="dcterms:W3CDTF">2021-09-09T07:18:00Z</dcterms:modified>
</cp:coreProperties>
</file>